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HOLLOW CORE SLAB INSTALLATION</w:t>
      </w:r>
    </w:p>
    <w:p>
      <w:pPr>
        <w:spacing w:after="480"/>
      </w:pPr>
      <w:r>
        <w:rPr>
          <w:rFonts w:ascii="Aptos" w:hAnsi="Aptos"/>
          <w:b w:val="0"/>
          <w:color w:val="5E6B78"/>
          <w:sz w:val="26"/>
        </w:rPr>
        <w:t>Pemasangan Hollow Core Slab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hollow core slab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hollow core slab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Hollow core units</w:t>
      </w:r>
    </w:p>
    <w:p>
      <w:pPr>
        <w:pStyle w:val="ListBullet"/>
        <w:spacing w:after="50"/>
        <w:ind w:left="369" w:hanging="170"/>
      </w:pPr>
      <w:r>
        <w:rPr>
          <w:rFonts w:ascii="Aptos" w:hAnsi="Aptos"/>
          <w:b w:val="0"/>
          <w:color w:val="263442"/>
          <w:sz w:val="19"/>
        </w:rPr>
        <w:t>Bearing pads</w:t>
      </w:r>
    </w:p>
    <w:p>
      <w:pPr>
        <w:pStyle w:val="ListBullet"/>
        <w:spacing w:after="50"/>
        <w:ind w:left="369" w:hanging="170"/>
      </w:pPr>
      <w:r>
        <w:rPr>
          <w:rFonts w:ascii="Aptos" w:hAnsi="Aptos"/>
          <w:b w:val="0"/>
          <w:color w:val="263442"/>
          <w:sz w:val="19"/>
        </w:rPr>
        <w:t>Temporary props where designed</w:t>
      </w:r>
    </w:p>
    <w:p>
      <w:pPr>
        <w:pStyle w:val="ListBullet"/>
        <w:spacing w:after="50"/>
        <w:ind w:left="369" w:hanging="170"/>
      </w:pPr>
      <w:r>
        <w:rPr>
          <w:rFonts w:ascii="Aptos" w:hAnsi="Aptos"/>
          <w:b w:val="0"/>
          <w:color w:val="263442"/>
          <w:sz w:val="19"/>
        </w:rPr>
        <w:t>Grout and topping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Certified lifting clamps or beams</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structural drawings, hollow core erection drawings, unit schedule, lifting plan, temporary works design, material submissions and permits are available at the work front. The supporting structure, crane access, delivery route, bearing locations, levels, openings and interfaces shall be jointly inspected and released before erection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Confirm the erection supervisor, crane operator, lifting supervisor, rigger, signaller, landing team, surveyor and grout or topping crew required for the planned bay. Verify competence, communication method, inspected lifting accessories, fall-protection arrangements, rescue provision and daily weather limits. Brief the team on the erection order, individual responsibilities, exclusion zones and stop-work conditions.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Check every hollow core unit, bearing pad, reinforcement item, grout and topping material against the approved submissions, delivery records and erection schedule. Maintain traceability to the unit mark and installation location. Store units on firm level supports at the positions stated by the manufacturer, with the stack height and dunnage alignment controlled to prevent twisting, cracking or strand damage.</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erection works in the following sequence. The approved erection drawing, lifting plan, temporary works design and manufacturer's instructions govern where their requirements are more specific.</w:t>
      </w:r>
    </w:p>
    <w:p>
      <w:pPr>
        <w:pStyle w:val="ListNumber"/>
        <w:keepLines/>
        <w:tabs>
          <w:tab w:pos="567" w:val="left"/>
        </w:tabs>
        <w:spacing w:after="100" w:line="269" w:lineRule="auto"/>
        <w:ind w:left="567" w:hanging="397"/>
      </w:pPr>
      <w:r>
        <w:rPr>
          <w:rFonts w:ascii="Aptos" w:hAnsi="Aptos"/>
          <w:b/>
          <w:color w:val="071E33"/>
          <w:sz w:val="19"/>
        </w:rPr>
        <w:t xml:space="preserve">Setting-out and bearing preparation. </w:t>
      </w:r>
      <w:r>
        <w:rPr>
          <w:rFonts w:ascii="Aptos" w:hAnsi="Aptos"/>
          <w:b w:val="0"/>
          <w:color w:val="263442"/>
          <w:sz w:val="19"/>
        </w:rPr>
        <w:t>Transfer the approved grid lines, slab unit references and bearing lines to the supporting beams or walls. Check the support width, top level, surface condition and required bearing length against the approved erection drawings. Remove laitance, debris and local high spots, complete any approved make-good work, and install the specified bearing pads or levelling materials before a slab unit is lifted into position.</w:t>
      </w:r>
    </w:p>
    <w:p>
      <w:pPr>
        <w:pStyle w:val="ListNumber"/>
        <w:keepLines/>
        <w:tabs>
          <w:tab w:pos="567" w:val="left"/>
        </w:tabs>
        <w:spacing w:after="100" w:line="269" w:lineRule="auto"/>
        <w:ind w:left="567" w:hanging="397"/>
      </w:pPr>
      <w:r>
        <w:rPr>
          <w:rFonts w:ascii="Aptos" w:hAnsi="Aptos"/>
          <w:b/>
          <w:color w:val="071E33"/>
          <w:sz w:val="19"/>
        </w:rPr>
        <w:t xml:space="preserve">Delivery, unloading and unit identification. </w:t>
      </w:r>
      <w:r>
        <w:rPr>
          <w:rFonts w:ascii="Aptos" w:hAnsi="Aptos"/>
          <w:b w:val="0"/>
          <w:color w:val="263442"/>
          <w:sz w:val="19"/>
        </w:rPr>
        <w:t>Receive the hollow core units in the planned erection order. Match each unit mark, length, depth, orientation and opening arrangement to the delivery schedule and erection drawing. Inspect the units for cracks, spalling, damaged ends, exposed strands, distorted lifting points or other transit damage. Place accepted units on firm, level dunnage positioned in line with the manufacturer's support points; segregate any rejected or doubtful unit.</w:t>
      </w:r>
    </w:p>
    <w:p>
      <w:pPr>
        <w:pStyle w:val="ListNumber"/>
        <w:keepLines/>
        <w:tabs>
          <w:tab w:pos="567" w:val="left"/>
        </w:tabs>
        <w:spacing w:after="100" w:line="269" w:lineRule="auto"/>
        <w:ind w:left="567" w:hanging="397"/>
      </w:pPr>
      <w:r>
        <w:rPr>
          <w:rFonts w:ascii="Aptos" w:hAnsi="Aptos"/>
          <w:b/>
          <w:color w:val="071E33"/>
          <w:sz w:val="19"/>
        </w:rPr>
        <w:t xml:space="preserve">Crane positioning and lifting arrangement. </w:t>
      </w:r>
      <w:r>
        <w:rPr>
          <w:rFonts w:ascii="Aptos" w:hAnsi="Aptos"/>
          <w:b w:val="0"/>
          <w:color w:val="263442"/>
          <w:sz w:val="19"/>
        </w:rPr>
        <w:t>Position the crane on the approved standing area and confirm that the lifting radius, boom configuration and available capacity match the lifting plan. Establish the lifting and landing exclusion zones. Connect the certified lifting beam, clamps, slings or hooks only at the manufacturer's approved lifting locations. Use suitable tag lines to control rotation without placing personnel beneath the suspended unit.</w:t>
      </w:r>
    </w:p>
    <w:p>
      <w:pPr>
        <w:pStyle w:val="ListNumber"/>
        <w:keepLines/>
        <w:tabs>
          <w:tab w:pos="567" w:val="left"/>
        </w:tabs>
        <w:spacing w:after="100" w:line="269" w:lineRule="auto"/>
        <w:ind w:left="567" w:hanging="397"/>
      </w:pPr>
      <w:r>
        <w:rPr>
          <w:rFonts w:ascii="Aptos" w:hAnsi="Aptos"/>
          <w:b/>
          <w:color w:val="071E33"/>
          <w:sz w:val="19"/>
        </w:rPr>
        <w:t xml:space="preserve">Trial lift. </w:t>
      </w:r>
      <w:r>
        <w:rPr>
          <w:rFonts w:ascii="Aptos" w:hAnsi="Aptos"/>
          <w:b w:val="0"/>
          <w:color w:val="263442"/>
          <w:sz w:val="19"/>
        </w:rPr>
        <w:t>Raise the unit slightly clear of the trailer or dunnage and hold it for a trial lift. Check that the load is balanced, all lifting accessories are correctly seated, the unit remains stable and there is no abnormal cracking or movement. Lower and adjust the rigging if the unit is not level or stable; do not continue the main lift until the lifting supervisor is satisfied.</w:t>
      </w:r>
    </w:p>
    <w:p>
      <w:pPr>
        <w:pStyle w:val="ListNumber"/>
        <w:keepLines/>
        <w:tabs>
          <w:tab w:pos="567" w:val="left"/>
        </w:tabs>
        <w:spacing w:after="100" w:line="269" w:lineRule="auto"/>
        <w:ind w:left="567" w:hanging="397"/>
      </w:pPr>
      <w:r>
        <w:rPr>
          <w:rFonts w:ascii="Aptos" w:hAnsi="Aptos"/>
          <w:b/>
          <w:color w:val="071E33"/>
          <w:sz w:val="19"/>
        </w:rPr>
        <w:t xml:space="preserve">Hoisting and slewing to the erection bay. </w:t>
      </w:r>
      <w:r>
        <w:rPr>
          <w:rFonts w:ascii="Aptos" w:hAnsi="Aptos"/>
          <w:b w:val="0"/>
          <w:color w:val="263442"/>
          <w:sz w:val="19"/>
        </w:rPr>
        <w:t>Hoist the unit along the route defined in the lifting plan and maintain clear communication between the crane operator, lifting supervisor, rigger and landing team. Slew slowly near the structure and avoid shock loading, impact with columns or reinforcement, and dragging the unit across completed work. Stop the lift if wind, visibility, communication or access conditions become unsafe.</w:t>
      </w:r>
    </w:p>
    <w:p>
      <w:pPr>
        <w:pStyle w:val="ListNumber"/>
        <w:keepLines/>
        <w:tabs>
          <w:tab w:pos="567" w:val="left"/>
        </w:tabs>
        <w:spacing w:after="100" w:line="269" w:lineRule="auto"/>
        <w:ind w:left="567" w:hanging="397"/>
      </w:pPr>
      <w:r>
        <w:rPr>
          <w:rFonts w:ascii="Aptos" w:hAnsi="Aptos"/>
          <w:b/>
          <w:color w:val="071E33"/>
          <w:sz w:val="19"/>
        </w:rPr>
        <w:t xml:space="preserve">Landing on supports. </w:t>
      </w:r>
      <w:r>
        <w:rPr>
          <w:rFonts w:ascii="Aptos" w:hAnsi="Aptos"/>
          <w:b w:val="0"/>
          <w:color w:val="263442"/>
          <w:sz w:val="19"/>
        </w:rPr>
        <w:t>Lower the unit under the direction of the designated signaller. Landing personnel shall guide the unit from a protected position using tag lines or approved tools and shall keep hands clear of pinch points. Seat both ends onto the correct bearing lines with the specified minimum bearing length and joint gap. Do not release the lifting accessories until the unit is fully supported and stable.</w:t>
      </w:r>
    </w:p>
    <w:p>
      <w:pPr>
        <w:pStyle w:val="ListNumber"/>
        <w:keepLines/>
        <w:tabs>
          <w:tab w:pos="567" w:val="left"/>
        </w:tabs>
        <w:spacing w:after="100" w:line="269" w:lineRule="auto"/>
        <w:ind w:left="567" w:hanging="397"/>
      </w:pPr>
      <w:r>
        <w:rPr>
          <w:rFonts w:ascii="Aptos" w:hAnsi="Aptos"/>
          <w:b/>
          <w:color w:val="071E33"/>
          <w:sz w:val="19"/>
        </w:rPr>
        <w:t xml:space="preserve">Alignment and level adjustment. </w:t>
      </w:r>
      <w:r>
        <w:rPr>
          <w:rFonts w:ascii="Aptos" w:hAnsi="Aptos"/>
          <w:b w:val="0"/>
          <w:color w:val="263442"/>
          <w:sz w:val="19"/>
        </w:rPr>
        <w:t>Check the unit mark, orientation, end bearing, joint width, soffit alignment and top level immediately after landing. Make adjustments using approved methods while the crane remains connected where required. Do not hammer, lever against vulnerable edges, cut prestressing strands or pack the bearing with unapproved loose materials. Obtain technical direction for any unit that cannot be placed within the stated tolerances.</w:t>
      </w:r>
    </w:p>
    <w:p>
      <w:pPr>
        <w:pStyle w:val="ListNumber"/>
        <w:keepLines/>
        <w:tabs>
          <w:tab w:pos="567" w:val="left"/>
        </w:tabs>
        <w:spacing w:after="100" w:line="269" w:lineRule="auto"/>
        <w:ind w:left="567" w:hanging="397"/>
      </w:pPr>
      <w:r>
        <w:rPr>
          <w:rFonts w:ascii="Aptos" w:hAnsi="Aptos"/>
          <w:b/>
          <w:color w:val="071E33"/>
          <w:sz w:val="19"/>
        </w:rPr>
        <w:t xml:space="preserve">Temporary stability and progressive edge protection. </w:t>
      </w:r>
      <w:r>
        <w:rPr>
          <w:rFonts w:ascii="Aptos" w:hAnsi="Aptos"/>
          <w:b w:val="0"/>
          <w:color w:val="263442"/>
          <w:sz w:val="19"/>
        </w:rPr>
        <w:t>Install the specified temporary restraint, bracing, ties or propping in the sequence shown on the erection or temporary works drawings. Provide edge protection and cover or barricade openings as each unit is placed; do not leave an unprotected leading edge for a later operation. Release the crane only after the temporary stability provisions for that unit are complete.</w:t>
      </w:r>
    </w:p>
    <w:p>
      <w:pPr>
        <w:pStyle w:val="ListNumber"/>
        <w:keepLines/>
        <w:tabs>
          <w:tab w:pos="567" w:val="left"/>
        </w:tabs>
        <w:spacing w:after="100" w:line="269" w:lineRule="auto"/>
        <w:ind w:left="567" w:hanging="397"/>
      </w:pPr>
      <w:r>
        <w:rPr>
          <w:rFonts w:ascii="Aptos" w:hAnsi="Aptos"/>
          <w:b/>
          <w:color w:val="071E33"/>
          <w:sz w:val="19"/>
        </w:rPr>
        <w:t xml:space="preserve">Continuation of erection. </w:t>
      </w:r>
      <w:r>
        <w:rPr>
          <w:rFonts w:ascii="Aptos" w:hAnsi="Aptos"/>
          <w:b w:val="0"/>
          <w:color w:val="263442"/>
          <w:sz w:val="19"/>
        </w:rPr>
        <w:t>Erect the remaining units in the approved bay sequence, working from a stable completed area and maintaining the planned crane access. Check cumulative joint spacing and alignment frequently so dimensional drift is corrected before the closing unit is installed. Do not stockpile materials, operate access plant or impose construction loads on the units unless the temporary loading has been checked and authorised.</w:t>
      </w:r>
    </w:p>
    <w:p>
      <w:pPr>
        <w:pStyle w:val="ListNumber"/>
        <w:keepLines/>
        <w:tabs>
          <w:tab w:pos="567" w:val="left"/>
        </w:tabs>
        <w:spacing w:after="100" w:line="269" w:lineRule="auto"/>
        <w:ind w:left="567" w:hanging="397"/>
      </w:pPr>
      <w:r>
        <w:rPr>
          <w:rFonts w:ascii="Aptos" w:hAnsi="Aptos"/>
          <w:b/>
          <w:color w:val="071E33"/>
          <w:sz w:val="19"/>
        </w:rPr>
        <w:t xml:space="preserve">Keyways, reinforcement and end closures. </w:t>
      </w:r>
      <w:r>
        <w:rPr>
          <w:rFonts w:ascii="Aptos" w:hAnsi="Aptos"/>
          <w:b w:val="0"/>
          <w:color w:val="263442"/>
          <w:sz w:val="19"/>
        </w:rPr>
        <w:t>Clean the longitudinal joints and bearing-end zones. Install the specified tie bars, continuity reinforcement, mesh, inserts, sleeves, fire-stopping components and end closures shown on the approved details. Coordinate openings and service penetrations before grouting. Site cutting, core drilling or chasing of a hollow core unit is prohibited unless a written specialist design and approval identifies the permitted location and method.</w:t>
      </w:r>
    </w:p>
    <w:p>
      <w:pPr>
        <w:pStyle w:val="ListNumber"/>
        <w:keepLines/>
        <w:tabs>
          <w:tab w:pos="567" w:val="left"/>
        </w:tabs>
        <w:spacing w:after="100" w:line="269" w:lineRule="auto"/>
        <w:ind w:left="567" w:hanging="397"/>
      </w:pPr>
      <w:r>
        <w:rPr>
          <w:rFonts w:ascii="Aptos" w:hAnsi="Aptos"/>
          <w:b/>
          <w:color w:val="071E33"/>
          <w:sz w:val="19"/>
        </w:rPr>
        <w:t xml:space="preserve">Joint grouting and structural topping. </w:t>
      </w:r>
      <w:r>
        <w:rPr>
          <w:rFonts w:ascii="Aptos" w:hAnsi="Aptos"/>
          <w:b w:val="0"/>
          <w:color w:val="263442"/>
          <w:sz w:val="19"/>
        </w:rPr>
        <w:t>Pre-wet or otherwise prepare the joint surfaces as required by the approved grout system without leaving standing water. Place the approved grout continuously into keyways and end pockets, compact it to eliminate voids and finish it to the required level. Where a structural topping is specified, complete the reinforcement, level controls and pre-pour inspection before placing the concrete in a sequence that avoids local overloading. Cure and protect the grout or topping for the specified period.</w:t>
      </w:r>
    </w:p>
    <w:p>
      <w:pPr>
        <w:pStyle w:val="ListNumber"/>
        <w:keepLines/>
        <w:tabs>
          <w:tab w:pos="567" w:val="left"/>
        </w:tabs>
        <w:spacing w:after="100" w:line="269" w:lineRule="auto"/>
        <w:ind w:left="567" w:hanging="397"/>
      </w:pPr>
      <w:r>
        <w:rPr>
          <w:rFonts w:ascii="Aptos" w:hAnsi="Aptos"/>
          <w:b/>
          <w:color w:val="071E33"/>
          <w:sz w:val="19"/>
        </w:rPr>
        <w:t xml:space="preserve">Removal of temporary props and release of the floor. </w:t>
      </w:r>
      <w:r>
        <w:rPr>
          <w:rFonts w:ascii="Aptos" w:hAnsi="Aptos"/>
          <w:b w:val="0"/>
          <w:color w:val="263442"/>
          <w:sz w:val="19"/>
        </w:rPr>
        <w:t>Remove temporary props, restraints or back-propping only after the specified grout or topping strength has been demonstrated and written release has been obtained from the responsible temporary works or design authority. Follow the approved depropping sequence to prevent sudden load transfer. Complete the final survey, close defects and formally release the floor before follow-on loading or trade access.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the controls apply to the complete sequence. Verify unit identification and condition, support readiness, bearing length, joint width, soffit alignment, top level, temporary stability, reinforcement, grout or topping quality and the required strength before depropping. Record hold and witness point releases in accordance with the approved Inspection and Test Plan.</w:t>
      </w:r>
    </w:p>
    <w:p>
      <w:pPr>
        <w:pStyle w:val="ListBullet"/>
        <w:spacing w:after="50"/>
        <w:ind w:left="369" w:hanging="170"/>
      </w:pPr>
      <w:r>
        <w:rPr>
          <w:rFonts w:ascii="Aptos" w:hAnsi="Aptos"/>
          <w:b w:val="0"/>
          <w:color w:val="263442"/>
          <w:sz w:val="19"/>
        </w:rPr>
        <w:t>Safety and interface control: maintain the approved lifting plan, crane standing condition, weather limits, exclusion zones, fall protection, opening protection and temporary works throughout erection. Coordinate deliveries, crane movements, landing areas, structural supports, M&amp;E openings, fire-stopping, façade interfaces and access for following trades. Stop work when conditions differ from the approved arrangement.</w:t>
      </w:r>
    </w:p>
    <w:p>
      <w:pPr>
        <w:pStyle w:val="ListBullet"/>
        <w:spacing w:after="50"/>
        <w:ind w:left="369" w:hanging="170"/>
      </w:pPr>
      <w:r>
        <w:rPr>
          <w:rFonts w:ascii="Aptos" w:hAnsi="Aptos"/>
          <w:b w:val="0"/>
          <w:color w:val="263442"/>
          <w:sz w:val="19"/>
        </w:rPr>
        <w:t>Records: retain the erection drawing and unit schedule, delivery and damage inspection records, lifting gear certificates, crane and lifting checklists, survey results, inspection requests, temporary works releases, grout or concrete test results, photographs, non-conformance close-out and final handover record.</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erection bay, inspect unit condition, bearing, alignment, temporary stability, edge protection, joints, reinforcement, closures, grout or topping and curing. Mark and rectify defects using an approved repair procedure. Protect the completed floor from impact, contamination, weather and unapproved construction loading until formal release.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Compile the delivery, erection, inspection, survey, temporary works, grout or concrete test, non-conformance and as-built records listed in the Activity Sequence notes. Hand over the completed bay only after the required strength, hold points, Consultant comments, edge protection and loading restrictions have been verified and communicated to the receiving trade.</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and bearing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Unit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Bearing length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stability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Keyway and grout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Topping and prop removal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height or open edge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Unit cracking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Temporary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Hollow Core Slab Installation</dc:title>
  <dc:subject>Editable construction method statement template</dc:subject>
  <dc:creator>Method Statement Hub Malaysia</dc:creator>
  <cp:keywords>hollow core, precast slab, IBS</cp:keywords>
  <dc:description>generated by python-docx</dc:description>
  <cp:lastModifiedBy/>
  <cp:revision>1</cp:revision>
  <dcterms:created xsi:type="dcterms:W3CDTF">2013-12-23T23:15:00Z</dcterms:created>
  <dcterms:modified xsi:type="dcterms:W3CDTF">2013-12-23T23:15:00Z</dcterms:modified>
  <cp:category/>
</cp:coreProperties>
</file>